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Self Contained 3.4.5 - Supply List </w:t>
      </w:r>
    </w:p>
    <w:p w:rsidR="00000000" w:rsidDel="00000000" w:rsidP="00000000" w:rsidRDefault="00000000" w:rsidRPr="00000000" w14:paraId="00000003">
      <w:pPr>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2020-2021</w:t>
      </w:r>
    </w:p>
    <w:p w:rsidR="00000000" w:rsidDel="00000000" w:rsidP="00000000" w:rsidRDefault="00000000" w:rsidRPr="00000000" w14:paraId="00000004">
      <w:pPr>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161925</wp:posOffset>
            </wp:positionV>
            <wp:extent cx="1604963" cy="161383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4963" cy="1613830"/>
                    </a:xfrm>
                    <a:prstGeom prst="rect"/>
                    <a:ln/>
                  </pic:spPr>
                </pic:pic>
              </a:graphicData>
            </a:graphic>
          </wp:anchor>
        </w:drawing>
      </w:r>
    </w:p>
    <w:p w:rsidR="00000000" w:rsidDel="00000000" w:rsidP="00000000" w:rsidRDefault="00000000" w:rsidRPr="00000000" w14:paraId="00000005">
      <w:pPr>
        <w:spacing w:line="273.6" w:lineRule="auto"/>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As this school year comes to a close, we would like to wish you a healthy, safe, and happy summer vacation. Below is a supply list for the upcoming school year.  For your convenience, the items may be brought in across the first week of school. To make the transition back to school easier, we have a supply list for the beginning of the year (September) and a supply list for the middle of the year (January).</w:t>
      </w:r>
      <w:r w:rsidDel="00000000" w:rsidR="00000000" w:rsidRPr="00000000">
        <w:rPr>
          <w:rFonts w:ascii="Arial" w:cs="Arial" w:eastAsia="Arial" w:hAnsi="Arial"/>
          <w:b w:val="1"/>
          <w:sz w:val="24"/>
          <w:szCs w:val="24"/>
          <w:rtl w:val="0"/>
        </w:rPr>
        <w:t xml:space="preserve"> Please label all supplies with your child’s name.</w:t>
      </w:r>
      <w:r w:rsidDel="00000000" w:rsidR="00000000" w:rsidRPr="00000000">
        <w:rPr>
          <w:rFonts w:ascii="Arial" w:cs="Arial" w:eastAsia="Arial" w:hAnsi="Arial"/>
          <w:sz w:val="28"/>
          <w:szCs w:val="28"/>
          <w:rtl w:val="0"/>
        </w:rPr>
        <w:t xml:space="preserve"> </w:t>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60"/>
        <w:gridCol w:w="5295"/>
        <w:tblGridChange w:id="0">
          <w:tblGrid>
            <w:gridCol w:w="5460"/>
            <w:gridCol w:w="5295"/>
          </w:tblGrid>
        </w:tblGridChange>
      </w:tblGrid>
      <w:tr>
        <w:trPr>
          <w:trHeight w:val="729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76.0005454545455"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w:t>
            </w:r>
          </w:p>
          <w:p w:rsidR="00000000" w:rsidDel="00000000" w:rsidP="00000000" w:rsidRDefault="00000000" w:rsidRPr="00000000" w14:paraId="00000007">
            <w:pPr>
              <w:spacing w:line="276.0005454545455" w:lineRule="auto"/>
              <w:ind w:left="0" w:firstLine="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8">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2 Avery Heavy Duty 2” Clear Cover Binders (Staples carries them)</w:t>
            </w:r>
          </w:p>
          <w:p w:rsidR="00000000" w:rsidDel="00000000" w:rsidP="00000000" w:rsidRDefault="00000000" w:rsidRPr="00000000" w14:paraId="00000009">
            <w:pPr>
              <w:numPr>
                <w:ilvl w:val="1"/>
                <w:numId w:val="2"/>
              </w:numPr>
              <w:spacing w:line="276.0005454545455" w:lineRule="auto"/>
              <w:ind w:left="1440" w:hanging="360"/>
              <w:rPr>
                <w:b w:val="1"/>
                <w:sz w:val="22"/>
                <w:szCs w:val="22"/>
              </w:rPr>
            </w:pPr>
            <w:r w:rsidDel="00000000" w:rsidR="00000000" w:rsidRPr="00000000">
              <w:rPr>
                <w:rFonts w:ascii="Arial" w:cs="Arial" w:eastAsia="Arial" w:hAnsi="Arial"/>
                <w:sz w:val="22"/>
                <w:szCs w:val="22"/>
                <w:rtl w:val="0"/>
              </w:rPr>
              <w:t xml:space="preserve"> 1 in black and </w:t>
            </w:r>
          </w:p>
          <w:p w:rsidR="00000000" w:rsidDel="00000000" w:rsidP="00000000" w:rsidRDefault="00000000" w:rsidRPr="00000000" w14:paraId="0000000A">
            <w:pPr>
              <w:numPr>
                <w:ilvl w:val="1"/>
                <w:numId w:val="2"/>
              </w:numPr>
              <w:spacing w:line="276.0005454545455" w:lineRule="auto"/>
              <w:ind w:left="1440" w:hanging="360"/>
              <w:rPr>
                <w:b w:val="1"/>
                <w:sz w:val="22"/>
                <w:szCs w:val="22"/>
              </w:rPr>
            </w:pPr>
            <w:r w:rsidDel="00000000" w:rsidR="00000000" w:rsidRPr="00000000">
              <w:rPr>
                <w:rFonts w:ascii="Arial" w:cs="Arial" w:eastAsia="Arial" w:hAnsi="Arial"/>
                <w:sz w:val="22"/>
                <w:szCs w:val="22"/>
                <w:rtl w:val="0"/>
              </w:rPr>
              <w:t xml:space="preserve"> 1 in white </w:t>
            </w:r>
          </w:p>
          <w:p w:rsidR="00000000" w:rsidDel="00000000" w:rsidP="00000000" w:rsidRDefault="00000000" w:rsidRPr="00000000" w14:paraId="0000000B">
            <w:pPr>
              <w:spacing w:line="276.0005454545455" w:lineRule="auto"/>
              <w:ind w:left="144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(if you already have these binders no need to buy new ones)</w:t>
            </w:r>
          </w:p>
          <w:p w:rsidR="00000000" w:rsidDel="00000000" w:rsidP="00000000" w:rsidRDefault="00000000" w:rsidRPr="00000000" w14:paraId="0000000C">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2 packs of dividers (5 tabs) (if you already have dividers no need to buy new ones)</w:t>
            </w:r>
          </w:p>
          <w:p w:rsidR="00000000" w:rsidDel="00000000" w:rsidP="00000000" w:rsidRDefault="00000000" w:rsidRPr="00000000" w14:paraId="0000000D">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1 package 8 1/2 by 11 wide ruled loose leaf paper</w:t>
            </w:r>
          </w:p>
          <w:p w:rsidR="00000000" w:rsidDel="00000000" w:rsidP="00000000" w:rsidRDefault="00000000" w:rsidRPr="00000000" w14:paraId="0000000E">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1 Set of colored Expo dry erase markers and a dry erase board eraser (please don’t get the markers with eraser on top)</w:t>
            </w:r>
          </w:p>
          <w:p w:rsidR="00000000" w:rsidDel="00000000" w:rsidP="00000000" w:rsidRDefault="00000000" w:rsidRPr="00000000" w14:paraId="0000000F">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Crayons, colored pencils, and markers</w:t>
            </w:r>
          </w:p>
          <w:p w:rsidR="00000000" w:rsidDel="00000000" w:rsidP="00000000" w:rsidRDefault="00000000" w:rsidRPr="00000000" w14:paraId="00000010">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2 boxes of tissues, </w:t>
            </w:r>
          </w:p>
          <w:p w:rsidR="00000000" w:rsidDel="00000000" w:rsidP="00000000" w:rsidRDefault="00000000" w:rsidRPr="00000000" w14:paraId="00000011">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2 rolls of paper towels, </w:t>
            </w:r>
          </w:p>
          <w:p w:rsidR="00000000" w:rsidDel="00000000" w:rsidP="00000000" w:rsidRDefault="00000000" w:rsidRPr="00000000" w14:paraId="00000012">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1 gallon and 1 quart zip lock bags.</w:t>
            </w:r>
          </w:p>
          <w:p w:rsidR="00000000" w:rsidDel="00000000" w:rsidP="00000000" w:rsidRDefault="00000000" w:rsidRPr="00000000" w14:paraId="00000013">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1 ream of white multi-purpose copy paper</w:t>
            </w:r>
          </w:p>
          <w:p w:rsidR="00000000" w:rsidDel="00000000" w:rsidP="00000000" w:rsidRDefault="00000000" w:rsidRPr="00000000" w14:paraId="00000014">
            <w:pPr>
              <w:numPr>
                <w:ilvl w:val="0"/>
                <w:numId w:val="2"/>
              </w:numPr>
              <w:spacing w:line="276.0005454545455" w:lineRule="auto"/>
              <w:ind w:left="720" w:hanging="360"/>
              <w:rPr>
                <w:b w:val="1"/>
                <w:sz w:val="22"/>
                <w:szCs w:val="22"/>
              </w:rPr>
            </w:pPr>
            <w:r w:rsidDel="00000000" w:rsidR="00000000" w:rsidRPr="00000000">
              <w:rPr>
                <w:rFonts w:ascii="Arial" w:cs="Arial" w:eastAsia="Arial" w:hAnsi="Arial"/>
                <w:sz w:val="22"/>
                <w:szCs w:val="22"/>
                <w:rtl w:val="0"/>
              </w:rPr>
              <w:t xml:space="preserve">5, 2 pocket folders</w:t>
            </w:r>
          </w:p>
          <w:p w:rsidR="00000000" w:rsidDel="00000000" w:rsidP="00000000" w:rsidRDefault="00000000" w:rsidRPr="00000000" w14:paraId="00000015">
            <w:pPr>
              <w:spacing w:after="0" w:line="276.0005454545455" w:lineRule="auto"/>
              <w:ind w:left="36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6">
            <w:pPr>
              <w:spacing w:after="0" w:line="276.0005454545455" w:lineRule="auto"/>
              <w:ind w:left="36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Many of these supplies your children already have if they were in my class this year. So please don’t feel that new items need to be bought if they already have them at school. Certain items get consumed and need to be restocked such as tissues, dry erase markers, and paper. Please use your best judgement when purchasing supplies if you are working with a limited budget.</w:t>
            </w:r>
          </w:p>
        </w:tc>
      </w:tr>
      <w:tr>
        <w:trPr>
          <w:trHeight w:val="357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 SUPPLIES: </w:t>
            </w:r>
          </w:p>
          <w:p w:rsidR="00000000" w:rsidDel="00000000" w:rsidP="00000000" w:rsidRDefault="00000000" w:rsidRPr="00000000" w14:paraId="00000019">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in January</w:t>
            </w:r>
          </w:p>
          <w:p w:rsidR="00000000" w:rsidDel="00000000" w:rsidP="00000000" w:rsidRDefault="00000000" w:rsidRPr="00000000" w14:paraId="0000001A">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1B">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Staples brand clear sheet protectors 100 count</w:t>
            </w:r>
          </w:p>
          <w:p w:rsidR="00000000" w:rsidDel="00000000" w:rsidP="00000000" w:rsidRDefault="00000000" w:rsidRPr="00000000" w14:paraId="0000001C">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packs of #2 pencils (Ticonderoga please)</w:t>
            </w:r>
          </w:p>
          <w:p w:rsidR="00000000" w:rsidDel="00000000" w:rsidP="00000000" w:rsidRDefault="00000000" w:rsidRPr="00000000" w14:paraId="0000001D">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or 3 large erasers (they come in a pack)</w:t>
            </w:r>
          </w:p>
          <w:p w:rsidR="00000000" w:rsidDel="00000000" w:rsidP="00000000" w:rsidRDefault="00000000" w:rsidRPr="00000000" w14:paraId="0000001E">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thin/fine point and 3 thick black Sharpie markers</w:t>
            </w:r>
          </w:p>
          <w:p w:rsidR="00000000" w:rsidDel="00000000" w:rsidP="00000000" w:rsidRDefault="00000000" w:rsidRPr="00000000" w14:paraId="0000001F">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Colored pens for note taking and editing</w:t>
            </w:r>
          </w:p>
          <w:p w:rsidR="00000000" w:rsidDel="00000000" w:rsidP="00000000" w:rsidRDefault="00000000" w:rsidRPr="00000000" w14:paraId="00000020">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pair of scissors</w:t>
            </w:r>
          </w:p>
          <w:p w:rsidR="00000000" w:rsidDel="00000000" w:rsidP="00000000" w:rsidRDefault="00000000" w:rsidRPr="00000000" w14:paraId="00000021">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large glue sticks</w:t>
            </w:r>
          </w:p>
          <w:p w:rsidR="00000000" w:rsidDel="00000000" w:rsidP="00000000" w:rsidRDefault="00000000" w:rsidRPr="00000000" w14:paraId="00000022">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ruler</w:t>
            </w:r>
          </w:p>
          <w:p w:rsidR="00000000" w:rsidDel="00000000" w:rsidP="00000000" w:rsidRDefault="00000000" w:rsidRPr="00000000" w14:paraId="00000023">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pencil case</w:t>
            </w:r>
          </w:p>
          <w:p w:rsidR="00000000" w:rsidDel="00000000" w:rsidP="00000000" w:rsidRDefault="00000000" w:rsidRPr="00000000" w14:paraId="00000024">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boxes of tissues, </w:t>
            </w:r>
          </w:p>
          <w:p w:rsidR="00000000" w:rsidDel="00000000" w:rsidP="00000000" w:rsidRDefault="00000000" w:rsidRPr="00000000" w14:paraId="00000025">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rolls of paper towels, </w:t>
            </w:r>
          </w:p>
          <w:p w:rsidR="00000000" w:rsidDel="00000000" w:rsidP="00000000" w:rsidRDefault="00000000" w:rsidRPr="00000000" w14:paraId="00000026">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gallon and 1 quart zip lock bags.</w:t>
            </w:r>
          </w:p>
          <w:p w:rsidR="00000000" w:rsidDel="00000000" w:rsidP="00000000" w:rsidRDefault="00000000" w:rsidRPr="00000000" w14:paraId="00000027">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white multi-purpose copy paper</w:t>
            </w:r>
          </w:p>
          <w:p w:rsidR="00000000" w:rsidDel="00000000" w:rsidP="00000000" w:rsidRDefault="00000000" w:rsidRPr="00000000" w14:paraId="00000028">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Colored highlighters</w:t>
            </w:r>
          </w:p>
          <w:p w:rsidR="00000000" w:rsidDel="00000000" w:rsidP="00000000" w:rsidRDefault="00000000" w:rsidRPr="00000000" w14:paraId="00000029">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clip board</w:t>
            </w:r>
          </w:p>
          <w:p w:rsidR="00000000" w:rsidDel="00000000" w:rsidP="00000000" w:rsidRDefault="00000000" w:rsidRPr="00000000" w14:paraId="0000002A">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Post its</w:t>
            </w:r>
          </w:p>
          <w:p w:rsidR="00000000" w:rsidDel="00000000" w:rsidP="00000000" w:rsidRDefault="00000000" w:rsidRPr="00000000" w14:paraId="0000002B">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bl>
    <w:p w:rsidR="00000000" w:rsidDel="00000000" w:rsidP="00000000" w:rsidRDefault="00000000" w:rsidRPr="00000000" w14:paraId="0000002D">
      <w:pPr>
        <w:spacing w:line="273.6"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spacing w:line="273.6" w:lineRule="auto"/>
        <w:jc w:val="center"/>
        <w:rPr>
          <w:rFonts w:ascii="Arial" w:cs="Arial" w:eastAsia="Arial" w:hAnsi="Arial"/>
          <w:b w:val="1"/>
        </w:rPr>
      </w:pPr>
      <w:r w:rsidDel="00000000" w:rsidR="00000000" w:rsidRPr="00000000">
        <w:rPr>
          <w:rFonts w:ascii="Arial" w:cs="Arial" w:eastAsia="Arial" w:hAnsi="Arial"/>
          <w:b w:val="1"/>
          <w:rtl w:val="0"/>
        </w:rPr>
        <w:t xml:space="preserve">Everyday</w:t>
      </w:r>
    </w:p>
    <w:p w:rsidR="00000000" w:rsidDel="00000000" w:rsidP="00000000" w:rsidRDefault="00000000" w:rsidRPr="00000000" w14:paraId="0000002F">
      <w:pPr>
        <w:spacing w:line="273.6" w:lineRule="auto"/>
        <w:jc w:val="center"/>
        <w:rPr>
          <w:rFonts w:ascii="Arial" w:cs="Arial" w:eastAsia="Arial" w:hAnsi="Arial"/>
        </w:rPr>
      </w:pPr>
      <w:r w:rsidDel="00000000" w:rsidR="00000000" w:rsidRPr="00000000">
        <w:rPr>
          <w:rFonts w:ascii="Arial" w:cs="Arial" w:eastAsia="Arial" w:hAnsi="Arial"/>
          <w:rtl w:val="0"/>
        </w:rPr>
        <w:t xml:space="preserve">Students may bring in fresh fruit, fresh vegetables, and/or cheese for snack. Water in plastic reusable containers is permitted. Please make sure your child comes to school every day with a book that he/she would enjoy reading during independent reading time.</w:t>
      </w:r>
    </w:p>
    <w:p w:rsidR="00000000" w:rsidDel="00000000" w:rsidP="00000000" w:rsidRDefault="00000000" w:rsidRPr="00000000" w14:paraId="00000030">
      <w:pPr>
        <w:spacing w:line="273.6" w:lineRule="auto"/>
        <w:ind w:left="3600" w:firstLine="0"/>
        <w:jc w:val="center"/>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jc w:val="center"/>
        <w:rPr>
          <w:rFonts w:ascii="Arial" w:cs="Arial" w:eastAsia="Arial" w:hAnsi="Arial"/>
          <w:b w:val="1"/>
          <w:i w:val="1"/>
          <w:sz w:val="24"/>
          <w:szCs w:val="24"/>
        </w:rPr>
      </w:pPr>
      <w:bookmarkStart w:colFirst="0" w:colLast="0" w:name="_heading=h.5wktc1jhk822" w:id="4"/>
      <w:bookmarkEnd w:id="4"/>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32">
      <w:pPr>
        <w:jc w:val="center"/>
        <w:rPr>
          <w:rFonts w:ascii="Arial" w:cs="Arial" w:eastAsia="Arial" w:hAnsi="Arial"/>
          <w:i w:val="1"/>
          <w:sz w:val="24"/>
          <w:szCs w:val="24"/>
        </w:rPr>
      </w:pPr>
      <w:bookmarkStart w:colFirst="0" w:colLast="0" w:name="_heading=h.9ngtrmfgjer3" w:id="5"/>
      <w:bookmarkEnd w:id="5"/>
      <w:r w:rsidDel="00000000" w:rsidR="00000000" w:rsidRPr="00000000">
        <w:rPr>
          <w:rtl w:val="0"/>
        </w:rPr>
      </w:r>
    </w:p>
    <w:p w:rsidR="00000000" w:rsidDel="00000000" w:rsidP="00000000" w:rsidRDefault="00000000" w:rsidRPr="00000000" w14:paraId="00000033">
      <w:pPr>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first"/>
      <w:footerReference r:id="rId9" w:type="first"/>
      <w:pgSz w:h="15840" w:w="12240"/>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mic Sans MS"/>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3A">
    <w:pPr>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35">
    <w:pPr>
      <w:spacing w:after="0" w:line="240" w:lineRule="auto"/>
      <w:jc w:val="left"/>
      <w:rPr>
        <w:rFonts w:ascii="Tahoma" w:cs="Tahoma" w:eastAsia="Tahoma" w:hAnsi="Tahoma"/>
        <w:sz w:val="16"/>
        <w:szCs w:val="16"/>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center" w:pos="4680"/>
        <w:tab w:val="right" w:pos="9360"/>
      </w:tabs>
      <w:spacing w:after="0" w:line="240"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XcceiOyLM4GFUIMeLUCExXBsg==">AMUW2mW6FY5kVNDLhTv42HIdZHcswK6ClZPiUPDyvSZyCufotRQ5eEC35+g+ig+uoH6kJTnF4a8BF35ocj4YStETlw3nNXtC20cF31Lt4C2YcDOYRlkIRV8U12jfqzZs6ukkPocWArzl/2PrkFJGwJLktJHMPaN469+Ibnt00n8kXWzoe7iOaPm+bFw1dUvGRl9pffwItBmQfbWpDJLF0ksypn3wm5qdXfvmbfKfAYZZcSNz69K845Y=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